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E7" w:rsidRPr="00D35850" w:rsidRDefault="006B4AE7" w:rsidP="006B4AE7">
      <w:pPr>
        <w:jc w:val="center"/>
        <w:rPr>
          <w:b/>
          <w:sz w:val="26"/>
          <w:szCs w:val="26"/>
        </w:rPr>
      </w:pPr>
      <w:r w:rsidRPr="00D35850">
        <w:rPr>
          <w:b/>
          <w:noProof/>
          <w:sz w:val="26"/>
          <w:szCs w:val="26"/>
        </w:rPr>
        <mc:AlternateContent>
          <mc:Choice Requires="wps">
            <w:drawing>
              <wp:anchor distT="45720" distB="45720" distL="114300" distR="114300" simplePos="0" relativeHeight="251659264" behindDoc="1" locked="0" layoutInCell="1" allowOverlap="1">
                <wp:simplePos x="0" y="0"/>
                <wp:positionH relativeFrom="column">
                  <wp:posOffset>4662805</wp:posOffset>
                </wp:positionH>
                <wp:positionV relativeFrom="paragraph">
                  <wp:posOffset>-332130</wp:posOffset>
                </wp:positionV>
                <wp:extent cx="1437071" cy="359637"/>
                <wp:effectExtent l="0" t="0" r="0" b="254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71" cy="359637"/>
                        </a:xfrm>
                        <a:prstGeom prst="rect">
                          <a:avLst/>
                        </a:prstGeom>
                        <a:solidFill>
                          <a:srgbClr val="FFFFFF"/>
                        </a:solidFill>
                        <a:ln w="9525">
                          <a:noFill/>
                          <a:miter lim="800000"/>
                          <a:headEnd/>
                          <a:tailEnd/>
                        </a:ln>
                      </wps:spPr>
                      <wps:txbx>
                        <w:txbxContent>
                          <w:p w:rsidR="006B4AE7" w:rsidRPr="006B4AE7" w:rsidRDefault="006B4AE7">
                            <w:pPr>
                              <w:rPr>
                                <w:b/>
                                <w:sz w:val="24"/>
                                <w:szCs w:val="24"/>
                                <w:u w:val="single"/>
                              </w:rPr>
                            </w:pPr>
                            <w:r w:rsidRPr="006B4AE7">
                              <w:rPr>
                                <w:b/>
                                <w:sz w:val="24"/>
                                <w:szCs w:val="24"/>
                                <w:u w:val="single"/>
                              </w:rPr>
                              <w:t>Annex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67.15pt;margin-top:-26.15pt;width:113.15pt;height:28.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" stroked="f">
                <v:textbox>
                  <w:txbxContent>
                    <w:p w:rsidR="006B4AE7" w:rsidRPr="006B4AE7" w:rsidRDefault="006B4AE7">
                      <w:pPr>
                        <w:rPr>
                          <w:b/>
                          <w:sz w:val="24"/>
                          <w:szCs w:val="24"/>
                          <w:u w:val="single"/>
                        </w:rPr>
                      </w:pPr>
                      <w:bookmarkStart w:id="1" w:name="_GoBack"/>
                      <w:r w:rsidRPr="006B4AE7">
                        <w:rPr>
                          <w:b/>
                          <w:sz w:val="24"/>
                          <w:szCs w:val="24"/>
                          <w:u w:val="single"/>
                        </w:rPr>
                        <w:t>Annex I</w:t>
                      </w:r>
                      <w:bookmarkEnd w:id="1"/>
                    </w:p>
                  </w:txbxContent>
                </v:textbox>
              </v:shape>
            </w:pict>
          </mc:Fallback>
        </mc:AlternateContent>
      </w:r>
    </w:p>
    <w:p w:rsidR="00D35850" w:rsidRDefault="00750F86" w:rsidP="004D544D">
      <w:pPr>
        <w:spacing w:after="60"/>
        <w:jc w:val="center"/>
        <w:rPr>
          <w:b/>
          <w:sz w:val="26"/>
          <w:szCs w:val="26"/>
        </w:rPr>
      </w:pPr>
      <w:r w:rsidRPr="00D35850">
        <w:rPr>
          <w:b/>
          <w:sz w:val="26"/>
          <w:szCs w:val="26"/>
        </w:rPr>
        <w:t xml:space="preserve">Report on the External Promotion </w:t>
      </w:r>
      <w:r w:rsidR="00F4633F">
        <w:rPr>
          <w:b/>
          <w:sz w:val="26"/>
          <w:szCs w:val="26"/>
        </w:rPr>
        <w:t xml:space="preserve">Work </w:t>
      </w:r>
      <w:r w:rsidRPr="00D35850">
        <w:rPr>
          <w:b/>
          <w:sz w:val="26"/>
          <w:szCs w:val="26"/>
        </w:rPr>
        <w:t>on Hong Kon</w:t>
      </w:r>
      <w:bookmarkStart w:id="0" w:name="_GoBack"/>
      <w:bookmarkEnd w:id="0"/>
      <w:r w:rsidRPr="00D35850">
        <w:rPr>
          <w:b/>
          <w:sz w:val="26"/>
          <w:szCs w:val="26"/>
        </w:rPr>
        <w:t>g</w:t>
      </w:r>
      <w:r w:rsidR="00D35850" w:rsidRPr="00D35850">
        <w:rPr>
          <w:b/>
          <w:sz w:val="26"/>
          <w:szCs w:val="26"/>
        </w:rPr>
        <w:t xml:space="preserve"> by </w:t>
      </w:r>
    </w:p>
    <w:p w:rsidR="00D35850" w:rsidRPr="00D35850" w:rsidRDefault="00D35850" w:rsidP="00D35850">
      <w:pPr>
        <w:jc w:val="center"/>
        <w:rPr>
          <w:rFonts w:eastAsia="新細明體"/>
          <w:b/>
          <w:sz w:val="26"/>
          <w:szCs w:val="26"/>
          <w:u w:val="single"/>
        </w:rPr>
      </w:pPr>
      <w:r w:rsidRPr="00D35850">
        <w:rPr>
          <w:rFonts w:eastAsia="新細明體"/>
          <w:b/>
          <w:sz w:val="26"/>
          <w:szCs w:val="26"/>
          <w:u w:val="single"/>
        </w:rPr>
        <w:t>Commerce and Economic Development Bureau</w:t>
      </w:r>
    </w:p>
    <w:p w:rsidR="00750F86" w:rsidRPr="00D35850" w:rsidRDefault="00750F86" w:rsidP="00D35850">
      <w:pPr>
        <w:rPr>
          <w:b/>
          <w:sz w:val="26"/>
          <w:szCs w:val="26"/>
        </w:rPr>
      </w:pPr>
    </w:p>
    <w:p w:rsidR="00750F86" w:rsidRPr="00D35850" w:rsidRDefault="00750F86" w:rsidP="006B4AE7">
      <w:pPr>
        <w:pStyle w:val="a6"/>
        <w:tabs>
          <w:tab w:val="left" w:pos="1134"/>
        </w:tabs>
        <w:overflowPunct w:val="0"/>
        <w:adjustRightInd w:val="0"/>
        <w:snapToGrid w:val="0"/>
        <w:ind w:leftChars="0" w:left="0"/>
        <w:jc w:val="both"/>
        <w:rPr>
          <w:sz w:val="26"/>
          <w:szCs w:val="26"/>
        </w:rPr>
      </w:pPr>
    </w:p>
    <w:p w:rsidR="00EB5505" w:rsidRPr="00D35850" w:rsidRDefault="00750F86" w:rsidP="006B4AE7">
      <w:pPr>
        <w:pStyle w:val="a6"/>
        <w:tabs>
          <w:tab w:val="left" w:pos="1134"/>
        </w:tabs>
        <w:overflowPunct w:val="0"/>
        <w:adjustRightInd w:val="0"/>
        <w:snapToGrid w:val="0"/>
        <w:ind w:leftChars="0" w:left="0"/>
        <w:jc w:val="both"/>
        <w:rPr>
          <w:sz w:val="26"/>
          <w:szCs w:val="26"/>
        </w:rPr>
      </w:pPr>
      <w:r w:rsidRPr="00D35850">
        <w:rPr>
          <w:sz w:val="26"/>
          <w:szCs w:val="26"/>
        </w:rPr>
        <w:tab/>
      </w:r>
      <w:r w:rsidR="002F6F26" w:rsidRPr="00D35850">
        <w:rPr>
          <w:sz w:val="26"/>
          <w:szCs w:val="26"/>
        </w:rPr>
        <w:t>Under “One Country, Two Systems”, Hong Kon</w:t>
      </w:r>
      <w:r w:rsidR="00B27548" w:rsidRPr="00D35850">
        <w:rPr>
          <w:sz w:val="26"/>
          <w:szCs w:val="26"/>
        </w:rPr>
        <w:t>g has the distinctive advantage</w:t>
      </w:r>
      <w:r w:rsidR="002F6F26" w:rsidRPr="00D35850">
        <w:rPr>
          <w:sz w:val="26"/>
          <w:szCs w:val="26"/>
        </w:rPr>
        <w:t xml:space="preserve"> of enjoying strong support of the Motherland </w:t>
      </w:r>
      <w:r w:rsidR="00B27548" w:rsidRPr="00D35850">
        <w:rPr>
          <w:sz w:val="26"/>
          <w:szCs w:val="26"/>
        </w:rPr>
        <w:t>while</w:t>
      </w:r>
      <w:r w:rsidR="002F6F26" w:rsidRPr="00D35850">
        <w:rPr>
          <w:sz w:val="26"/>
          <w:szCs w:val="26"/>
        </w:rPr>
        <w:t xml:space="preserve"> being</w:t>
      </w:r>
      <w:r w:rsidR="00B27548" w:rsidRPr="00D35850">
        <w:rPr>
          <w:sz w:val="26"/>
          <w:szCs w:val="26"/>
        </w:rPr>
        <w:t xml:space="preserve"> closely connected to the world.</w:t>
      </w:r>
      <w:r w:rsidR="002F6F26" w:rsidRPr="00D35850">
        <w:rPr>
          <w:sz w:val="26"/>
          <w:szCs w:val="26"/>
        </w:rPr>
        <w:t xml:space="preserve">  Our crucial role in key national strategies, including the National 14th Five-Year Plan, the Guangdong-Hong Kong-Macao Greater Bay Area dev</w:t>
      </w:r>
      <w:r w:rsidR="00006ADA" w:rsidRPr="00D35850">
        <w:rPr>
          <w:sz w:val="26"/>
          <w:szCs w:val="26"/>
        </w:rPr>
        <w:t xml:space="preserve">elopment and the Belt and Road </w:t>
      </w:r>
      <w:r w:rsidR="002F6F26" w:rsidRPr="00D35850">
        <w:rPr>
          <w:sz w:val="26"/>
          <w:szCs w:val="26"/>
        </w:rPr>
        <w:t xml:space="preserve">Initiative (“BRI”), provide Hong Kong with unlimited opportunities and make Hong Kong the only place in the world where the global advantage and the China advantage come together in a single economy.  </w:t>
      </w:r>
      <w:r w:rsidR="00EB5505" w:rsidRPr="00D35850">
        <w:rPr>
          <w:sz w:val="26"/>
          <w:szCs w:val="26"/>
        </w:rPr>
        <w:t>To prom</w:t>
      </w:r>
      <w:r w:rsidR="005F1BEF" w:rsidRPr="00D35850">
        <w:rPr>
          <w:sz w:val="26"/>
          <w:szCs w:val="26"/>
        </w:rPr>
        <w:t>ote these unique advantages to the</w:t>
      </w:r>
      <w:r w:rsidR="00EB5505" w:rsidRPr="00D35850">
        <w:rPr>
          <w:sz w:val="26"/>
          <w:szCs w:val="26"/>
        </w:rPr>
        <w:t xml:space="preserve"> global audience, Hong Kong has, through its </w:t>
      </w:r>
      <w:r w:rsidR="00822926" w:rsidRPr="00D35850">
        <w:rPr>
          <w:sz w:val="26"/>
          <w:szCs w:val="26"/>
        </w:rPr>
        <w:t xml:space="preserve">14 </w:t>
      </w:r>
      <w:r w:rsidR="00EB5505" w:rsidRPr="00D35850">
        <w:rPr>
          <w:sz w:val="26"/>
          <w:szCs w:val="26"/>
        </w:rPr>
        <w:t xml:space="preserve">overseas Hong Kong Economic and Trade Offices (“ETOs”), </w:t>
      </w:r>
      <w:r w:rsidR="00822926" w:rsidRPr="00D35850">
        <w:rPr>
          <w:sz w:val="26"/>
          <w:szCs w:val="26"/>
        </w:rPr>
        <w:t xml:space="preserve">16 </w:t>
      </w:r>
      <w:r w:rsidR="00EB5505" w:rsidRPr="00D35850">
        <w:rPr>
          <w:sz w:val="26"/>
          <w:szCs w:val="26"/>
        </w:rPr>
        <w:t xml:space="preserve">Invest Hong Kong (“InvestHK”) consultant offices and </w:t>
      </w:r>
      <w:r w:rsidR="00822926" w:rsidRPr="00D35850">
        <w:rPr>
          <w:sz w:val="26"/>
          <w:szCs w:val="26"/>
        </w:rPr>
        <w:t xml:space="preserve">50 </w:t>
      </w:r>
      <w:r w:rsidR="00EB5505" w:rsidRPr="00D35850">
        <w:rPr>
          <w:sz w:val="26"/>
          <w:szCs w:val="26"/>
        </w:rPr>
        <w:t>Hong Kong Trade Development Council (“HKTDC”</w:t>
      </w:r>
      <w:r w:rsidR="00822926" w:rsidRPr="00D35850">
        <w:rPr>
          <w:sz w:val="26"/>
          <w:szCs w:val="26"/>
        </w:rPr>
        <w:t xml:space="preserve">) </w:t>
      </w:r>
      <w:r w:rsidR="00EB5505" w:rsidRPr="00D35850">
        <w:rPr>
          <w:sz w:val="26"/>
          <w:szCs w:val="26"/>
        </w:rPr>
        <w:t>offices, provid</w:t>
      </w:r>
      <w:r w:rsidR="000F19A5" w:rsidRPr="00D35850">
        <w:rPr>
          <w:sz w:val="26"/>
          <w:szCs w:val="26"/>
        </w:rPr>
        <w:t>ed</w:t>
      </w:r>
      <w:r w:rsidR="00EB5505" w:rsidRPr="00D35850">
        <w:rPr>
          <w:sz w:val="26"/>
          <w:szCs w:val="26"/>
        </w:rPr>
        <w:t xml:space="preserve"> coverage to</w:t>
      </w:r>
      <w:r w:rsidR="005F1BEF" w:rsidRPr="00D35850">
        <w:rPr>
          <w:sz w:val="26"/>
          <w:szCs w:val="26"/>
        </w:rPr>
        <w:t xml:space="preserve"> 65 cities in</w:t>
      </w:r>
      <w:r w:rsidR="00EB5505" w:rsidRPr="00D35850">
        <w:rPr>
          <w:sz w:val="26"/>
          <w:szCs w:val="26"/>
        </w:rPr>
        <w:t xml:space="preserve"> 128 countries. </w:t>
      </w:r>
      <w:r w:rsidR="007324C9" w:rsidRPr="00D35850">
        <w:rPr>
          <w:sz w:val="26"/>
          <w:szCs w:val="26"/>
        </w:rPr>
        <w:t>The HKSAR Government (“HKSARG”) aims to set up more consultant offices of InvestHK and HKTDC along the Belt and Road.</w:t>
      </w:r>
    </w:p>
    <w:p w:rsidR="007324C9" w:rsidRPr="00D35850" w:rsidRDefault="007324C9" w:rsidP="006B4AE7">
      <w:pPr>
        <w:pStyle w:val="a6"/>
        <w:tabs>
          <w:tab w:val="left" w:pos="1134"/>
        </w:tabs>
        <w:overflowPunct w:val="0"/>
        <w:adjustRightInd w:val="0"/>
        <w:snapToGrid w:val="0"/>
        <w:ind w:leftChars="0" w:left="0"/>
        <w:jc w:val="both"/>
        <w:rPr>
          <w:sz w:val="26"/>
          <w:szCs w:val="26"/>
          <w:u w:val="single"/>
        </w:rPr>
      </w:pPr>
    </w:p>
    <w:p w:rsidR="008475E0" w:rsidRPr="00D35850" w:rsidRDefault="008475E0" w:rsidP="006B4AE7">
      <w:pPr>
        <w:pStyle w:val="a6"/>
        <w:numPr>
          <w:ilvl w:val="0"/>
          <w:numId w:val="1"/>
        </w:numPr>
        <w:tabs>
          <w:tab w:val="left" w:pos="1134"/>
        </w:tabs>
        <w:overflowPunct w:val="0"/>
        <w:adjustRightInd w:val="0"/>
        <w:snapToGrid w:val="0"/>
        <w:ind w:leftChars="0" w:left="0" w:firstLine="0"/>
        <w:jc w:val="both"/>
        <w:rPr>
          <w:sz w:val="26"/>
          <w:szCs w:val="26"/>
        </w:rPr>
      </w:pPr>
      <w:r w:rsidRPr="00D35850">
        <w:rPr>
          <w:rFonts w:cstheme="minorBidi"/>
          <w:kern w:val="0"/>
          <w:sz w:val="26"/>
          <w:szCs w:val="26"/>
          <w:lang w:eastAsia="zh-HK"/>
        </w:rPr>
        <w:t>The HKSARG</w:t>
      </w:r>
      <w:r w:rsidR="007324C9" w:rsidRPr="00D35850">
        <w:rPr>
          <w:rFonts w:cstheme="minorBidi"/>
          <w:kern w:val="0"/>
          <w:sz w:val="26"/>
          <w:szCs w:val="26"/>
          <w:lang w:eastAsia="zh-HK"/>
        </w:rPr>
        <w:t xml:space="preserve"> </w:t>
      </w:r>
      <w:r w:rsidRPr="00D35850">
        <w:rPr>
          <w:rFonts w:cstheme="minorBidi"/>
          <w:kern w:val="0"/>
          <w:sz w:val="26"/>
          <w:szCs w:val="26"/>
          <w:lang w:eastAsia="zh-HK"/>
        </w:rPr>
        <w:t>has a total of 14 overseas ETOs</w:t>
      </w:r>
      <w:r w:rsidRPr="00D35850">
        <w:rPr>
          <w:rFonts w:cstheme="minorBidi"/>
          <w:kern w:val="0"/>
          <w:sz w:val="26"/>
          <w:szCs w:val="26"/>
          <w:lang w:eastAsia="zh-HK"/>
        </w:rPr>
        <w:footnoteReference w:id="1"/>
      </w:r>
      <w:r w:rsidRPr="00D35850">
        <w:rPr>
          <w:rFonts w:cstheme="minorBidi"/>
          <w:kern w:val="0"/>
          <w:sz w:val="26"/>
          <w:szCs w:val="26"/>
          <w:lang w:eastAsia="zh-HK"/>
        </w:rPr>
        <w:t xml:space="preserve"> located in the cities of</w:t>
      </w:r>
      <w:r w:rsidRPr="00D35850">
        <w:rPr>
          <w:sz w:val="26"/>
          <w:szCs w:val="26"/>
        </w:rPr>
        <w:t xml:space="preserve"> Hong Kong’s major trading partners, covering 56 countries in Asia, Europe, North America, the Middle East and Oceania.  ETOs are the official representatives of the HKSAR</w:t>
      </w:r>
      <w:r w:rsidR="00527704" w:rsidRPr="00D35850">
        <w:rPr>
          <w:sz w:val="26"/>
          <w:szCs w:val="26"/>
        </w:rPr>
        <w:t>G</w:t>
      </w:r>
      <w:r w:rsidRPr="00D35850">
        <w:rPr>
          <w:sz w:val="26"/>
          <w:szCs w:val="26"/>
        </w:rPr>
        <w:t xml:space="preserve"> in countries</w:t>
      </w:r>
      <w:r w:rsidRPr="00D35850">
        <w:rPr>
          <w:rFonts w:hint="eastAsia"/>
          <w:sz w:val="26"/>
          <w:szCs w:val="26"/>
        </w:rPr>
        <w:t xml:space="preserve"> under their respective </w:t>
      </w:r>
      <w:r w:rsidRPr="00D35850">
        <w:rPr>
          <w:sz w:val="26"/>
          <w:szCs w:val="26"/>
        </w:rPr>
        <w:t>purview</w:t>
      </w:r>
      <w:r w:rsidRPr="00D35850">
        <w:rPr>
          <w:rFonts w:hint="eastAsia"/>
          <w:sz w:val="26"/>
          <w:szCs w:val="26"/>
        </w:rPr>
        <w:t>s</w:t>
      </w:r>
      <w:r w:rsidRPr="00D35850">
        <w:rPr>
          <w:sz w:val="26"/>
          <w:szCs w:val="26"/>
        </w:rPr>
        <w:t xml:space="preserve">.  Their primary responsibilities are to foster </w:t>
      </w:r>
      <w:r w:rsidR="009304F1" w:rsidRPr="00D35850">
        <w:rPr>
          <w:sz w:val="26"/>
          <w:szCs w:val="26"/>
        </w:rPr>
        <w:t xml:space="preserve">bilateral </w:t>
      </w:r>
      <w:r w:rsidRPr="00D35850">
        <w:rPr>
          <w:sz w:val="26"/>
          <w:szCs w:val="26"/>
        </w:rPr>
        <w:t xml:space="preserve">relations and liaison with </w:t>
      </w:r>
      <w:r w:rsidR="001230B7" w:rsidRPr="00D35850">
        <w:rPr>
          <w:sz w:val="26"/>
          <w:szCs w:val="26"/>
        </w:rPr>
        <w:t>government officials, business leaders and interlocutors in regions under their purview,</w:t>
      </w:r>
      <w:r w:rsidR="007324C9" w:rsidRPr="00D35850">
        <w:rPr>
          <w:sz w:val="26"/>
          <w:szCs w:val="26"/>
        </w:rPr>
        <w:t xml:space="preserve"> </w:t>
      </w:r>
      <w:proofErr w:type="spellStart"/>
      <w:r w:rsidR="007324C9" w:rsidRPr="00D35850">
        <w:rPr>
          <w:sz w:val="26"/>
          <w:szCs w:val="26"/>
        </w:rPr>
        <w:t>organise</w:t>
      </w:r>
      <w:proofErr w:type="spellEnd"/>
      <w:r w:rsidR="007324C9" w:rsidRPr="00D35850">
        <w:rPr>
          <w:sz w:val="26"/>
          <w:szCs w:val="26"/>
        </w:rPr>
        <w:t xml:space="preserve"> or co-</w:t>
      </w:r>
      <w:proofErr w:type="spellStart"/>
      <w:r w:rsidR="007324C9" w:rsidRPr="00D35850">
        <w:rPr>
          <w:sz w:val="26"/>
          <w:szCs w:val="26"/>
        </w:rPr>
        <w:t>organise</w:t>
      </w:r>
      <w:proofErr w:type="spellEnd"/>
      <w:r w:rsidR="007324C9" w:rsidRPr="00D35850">
        <w:rPr>
          <w:sz w:val="26"/>
          <w:szCs w:val="26"/>
        </w:rPr>
        <w:t xml:space="preserve"> different promotional activities, and rebut misinformation where necessary,</w:t>
      </w:r>
      <w:r w:rsidR="001230B7" w:rsidRPr="00D35850">
        <w:rPr>
          <w:sz w:val="26"/>
          <w:szCs w:val="26"/>
        </w:rPr>
        <w:t xml:space="preserve"> so as to tell the Hong Kong story by promoting our unique status under the “One Country, Two Systems” </w:t>
      </w:r>
      <w:r w:rsidR="001230B7" w:rsidRPr="00D35850">
        <w:rPr>
          <w:rFonts w:cstheme="minorBidi"/>
          <w:kern w:val="0"/>
          <w:sz w:val="26"/>
          <w:szCs w:val="26"/>
          <w:lang w:eastAsia="zh-HK"/>
        </w:rPr>
        <w:t>fram</w:t>
      </w:r>
      <w:r w:rsidR="007324C9" w:rsidRPr="00D35850">
        <w:rPr>
          <w:rFonts w:cstheme="minorBidi"/>
          <w:kern w:val="0"/>
          <w:sz w:val="26"/>
          <w:szCs w:val="26"/>
          <w:lang w:eastAsia="zh-HK"/>
        </w:rPr>
        <w:t xml:space="preserve">ework, </w:t>
      </w:r>
      <w:r w:rsidR="001230B7" w:rsidRPr="00D35850">
        <w:rPr>
          <w:rFonts w:cstheme="minorBidi"/>
          <w:kern w:val="0"/>
          <w:sz w:val="26"/>
          <w:szCs w:val="26"/>
          <w:lang w:eastAsia="zh-HK"/>
        </w:rPr>
        <w:t>our multi-faceted advantages</w:t>
      </w:r>
      <w:r w:rsidR="007324C9" w:rsidRPr="00D35850">
        <w:rPr>
          <w:rFonts w:cstheme="minorBidi"/>
          <w:kern w:val="0"/>
          <w:sz w:val="26"/>
          <w:szCs w:val="26"/>
          <w:lang w:eastAsia="zh-HK"/>
        </w:rPr>
        <w:t xml:space="preserve"> and our commitment to core values such as</w:t>
      </w:r>
      <w:r w:rsidR="007324C9" w:rsidRPr="00D35850">
        <w:rPr>
          <w:sz w:val="26"/>
          <w:szCs w:val="26"/>
        </w:rPr>
        <w:t xml:space="preserve"> the rule of law, free trade and multilateral co-operation</w:t>
      </w:r>
      <w:r w:rsidR="001230B7" w:rsidRPr="00D35850">
        <w:rPr>
          <w:sz w:val="26"/>
          <w:szCs w:val="26"/>
        </w:rPr>
        <w:t>.</w:t>
      </w:r>
      <w:r w:rsidRPr="00D35850">
        <w:rPr>
          <w:sz w:val="26"/>
          <w:szCs w:val="26"/>
        </w:rPr>
        <w:t xml:space="preserve"> </w:t>
      </w:r>
      <w:r w:rsidR="007324C9" w:rsidRPr="00D35850">
        <w:rPr>
          <w:sz w:val="26"/>
          <w:szCs w:val="26"/>
        </w:rPr>
        <w:t xml:space="preserve"> In addition, the ETOs provide support to the Chief Executive </w:t>
      </w:r>
      <w:r w:rsidR="00B27548" w:rsidRPr="00D35850">
        <w:rPr>
          <w:sz w:val="26"/>
          <w:szCs w:val="26"/>
        </w:rPr>
        <w:t xml:space="preserve">(“CE”) </w:t>
      </w:r>
      <w:r w:rsidR="007324C9" w:rsidRPr="00D35850">
        <w:rPr>
          <w:sz w:val="26"/>
          <w:szCs w:val="26"/>
        </w:rPr>
        <w:t xml:space="preserve">and Principal Officials’ overseas visits to attend international events and meet with </w:t>
      </w:r>
      <w:r w:rsidR="00AE3646" w:rsidRPr="00D35850">
        <w:rPr>
          <w:sz w:val="26"/>
          <w:szCs w:val="26"/>
        </w:rPr>
        <w:t>high-level government officials, such as CE’s visits to the Middle East (February 2023) and ASEAN (July 2023).</w:t>
      </w:r>
    </w:p>
    <w:p w:rsidR="007654FB" w:rsidRPr="00D35850" w:rsidRDefault="007654FB" w:rsidP="006B4AE7">
      <w:pPr>
        <w:pStyle w:val="a6"/>
        <w:tabs>
          <w:tab w:val="left" w:pos="1134"/>
        </w:tabs>
        <w:overflowPunct w:val="0"/>
        <w:adjustRightInd w:val="0"/>
        <w:snapToGrid w:val="0"/>
        <w:ind w:leftChars="0" w:left="0"/>
        <w:jc w:val="both"/>
        <w:rPr>
          <w:sz w:val="26"/>
          <w:szCs w:val="26"/>
        </w:rPr>
      </w:pPr>
    </w:p>
    <w:p w:rsidR="007324C9" w:rsidRPr="00D35850" w:rsidRDefault="00DA4234" w:rsidP="006B4AE7">
      <w:pPr>
        <w:pStyle w:val="a6"/>
        <w:numPr>
          <w:ilvl w:val="0"/>
          <w:numId w:val="1"/>
        </w:numPr>
        <w:tabs>
          <w:tab w:val="left" w:pos="1134"/>
        </w:tabs>
        <w:overflowPunct w:val="0"/>
        <w:adjustRightInd w:val="0"/>
        <w:snapToGrid w:val="0"/>
        <w:ind w:leftChars="0" w:left="0" w:firstLine="0"/>
        <w:jc w:val="both"/>
        <w:rPr>
          <w:sz w:val="26"/>
          <w:szCs w:val="26"/>
        </w:rPr>
      </w:pPr>
      <w:r w:rsidRPr="00D35850">
        <w:rPr>
          <w:sz w:val="26"/>
          <w:szCs w:val="26"/>
        </w:rPr>
        <w:t xml:space="preserve">The mission of </w:t>
      </w:r>
      <w:r w:rsidR="00EB5505" w:rsidRPr="00D35850">
        <w:rPr>
          <w:sz w:val="26"/>
          <w:szCs w:val="26"/>
        </w:rPr>
        <w:t>InvestHK</w:t>
      </w:r>
      <w:r w:rsidRPr="00D35850">
        <w:rPr>
          <w:sz w:val="26"/>
          <w:szCs w:val="26"/>
        </w:rPr>
        <w:t xml:space="preserve"> </w:t>
      </w:r>
      <w:r w:rsidRPr="00D35850">
        <w:rPr>
          <w:sz w:val="26"/>
          <w:szCs w:val="26"/>
          <w:lang w:eastAsia="zh-HK"/>
        </w:rPr>
        <w:t xml:space="preserve">is to, through </w:t>
      </w:r>
      <w:proofErr w:type="spellStart"/>
      <w:r w:rsidRPr="00D35850">
        <w:rPr>
          <w:sz w:val="26"/>
          <w:szCs w:val="26"/>
          <w:lang w:eastAsia="zh-HK"/>
        </w:rPr>
        <w:t>organising</w:t>
      </w:r>
      <w:proofErr w:type="spellEnd"/>
      <w:r w:rsidRPr="00D35850">
        <w:rPr>
          <w:sz w:val="26"/>
          <w:szCs w:val="26"/>
          <w:lang w:eastAsia="zh-HK"/>
        </w:rPr>
        <w:t xml:space="preserve"> </w:t>
      </w:r>
      <w:r w:rsidRPr="00D35850">
        <w:rPr>
          <w:sz w:val="26"/>
          <w:szCs w:val="26"/>
        </w:rPr>
        <w:t>conferences, roadshows, seminars and marketing campaigns in both traditional and emerging markets, proactively engage potential investors and major stakeholders such as relevant government agencies, thereby</w:t>
      </w:r>
      <w:r w:rsidRPr="00D35850">
        <w:rPr>
          <w:sz w:val="26"/>
          <w:szCs w:val="26"/>
          <w:lang w:eastAsia="zh-HK"/>
        </w:rPr>
        <w:t xml:space="preserve"> attracting and retaining f</w:t>
      </w:r>
      <w:r w:rsidR="007324C9" w:rsidRPr="00D35850">
        <w:rPr>
          <w:sz w:val="26"/>
          <w:szCs w:val="26"/>
          <w:lang w:eastAsia="zh-HK"/>
        </w:rPr>
        <w:t>oreign direct investment</w:t>
      </w:r>
      <w:r w:rsidRPr="00D35850">
        <w:rPr>
          <w:sz w:val="26"/>
          <w:szCs w:val="26"/>
          <w:lang w:val="en" w:eastAsia="zh-HK"/>
        </w:rPr>
        <w:t xml:space="preserve">.  </w:t>
      </w:r>
      <w:r w:rsidRPr="00D35850">
        <w:rPr>
          <w:sz w:val="26"/>
          <w:szCs w:val="26"/>
        </w:rPr>
        <w:t xml:space="preserve">To achieve the above, InvestHK identifies and reaches out to </w:t>
      </w:r>
      <w:r w:rsidRPr="00D35850">
        <w:rPr>
          <w:snapToGrid w:val="0"/>
          <w:sz w:val="26"/>
          <w:szCs w:val="26"/>
        </w:rPr>
        <w:t xml:space="preserve">multinational </w:t>
      </w:r>
      <w:r w:rsidRPr="00D35850">
        <w:rPr>
          <w:sz w:val="26"/>
          <w:szCs w:val="26"/>
        </w:rPr>
        <w:t xml:space="preserve">corporations and leading corporates in key geographical markets around the world, </w:t>
      </w:r>
      <w:r w:rsidRPr="00D35850">
        <w:rPr>
          <w:sz w:val="26"/>
          <w:szCs w:val="26"/>
          <w:lang w:val="en"/>
        </w:rPr>
        <w:t>through</w:t>
      </w:r>
      <w:r w:rsidRPr="00D35850">
        <w:rPr>
          <w:sz w:val="26"/>
          <w:szCs w:val="26"/>
        </w:rPr>
        <w:t xml:space="preserve"> the 17 </w:t>
      </w:r>
      <w:r w:rsidRPr="00D35850">
        <w:rPr>
          <w:rFonts w:eastAsia="MS Mincho"/>
          <w:sz w:val="26"/>
          <w:szCs w:val="26"/>
          <w:lang w:eastAsia="ja-JP"/>
        </w:rPr>
        <w:t xml:space="preserve">Dedicated Teams </w:t>
      </w:r>
      <w:r w:rsidR="007324C9" w:rsidRPr="00D35850">
        <w:rPr>
          <w:sz w:val="26"/>
          <w:szCs w:val="26"/>
        </w:rPr>
        <w:t xml:space="preserve">for Attracting Businesses and </w:t>
      </w:r>
      <w:r w:rsidR="007324C9" w:rsidRPr="00D35850">
        <w:rPr>
          <w:sz w:val="26"/>
          <w:szCs w:val="26"/>
        </w:rPr>
        <w:lastRenderedPageBreak/>
        <w:t>Talents</w:t>
      </w:r>
      <w:r w:rsidR="007324C9" w:rsidRPr="00D35850">
        <w:rPr>
          <w:rFonts w:eastAsia="MS Mincho"/>
          <w:sz w:val="26"/>
          <w:szCs w:val="26"/>
          <w:lang w:eastAsia="ja-JP"/>
        </w:rPr>
        <w:t xml:space="preserve"> </w:t>
      </w:r>
      <w:r w:rsidRPr="00D35850">
        <w:rPr>
          <w:rFonts w:eastAsia="MS Mincho"/>
          <w:sz w:val="26"/>
          <w:szCs w:val="26"/>
          <w:lang w:eastAsia="ja-JP"/>
        </w:rPr>
        <w:t>set up at 12 overseas ETOs</w:t>
      </w:r>
      <w:r w:rsidR="007324C9" w:rsidRPr="00D35850">
        <w:rPr>
          <w:rStyle w:val="a5"/>
          <w:iCs/>
          <w:sz w:val="26"/>
          <w:szCs w:val="26"/>
        </w:rPr>
        <w:footnoteReference w:id="2"/>
      </w:r>
      <w:r w:rsidRPr="00D35850">
        <w:rPr>
          <w:rFonts w:eastAsia="MS Mincho"/>
          <w:sz w:val="26"/>
          <w:szCs w:val="26"/>
          <w:lang w:eastAsia="ja-JP"/>
        </w:rPr>
        <w:t xml:space="preserve"> and 5 Mainland ETOs</w:t>
      </w:r>
      <w:r w:rsidRPr="00D35850">
        <w:rPr>
          <w:sz w:val="26"/>
          <w:szCs w:val="26"/>
        </w:rPr>
        <w:t xml:space="preserve">, as well as 16 consultant offices in key locations not covered by the Dedicated Teams.  As of September 2023, these Dedicated Teams have since their establishment conducted over 4 450 meetings with target enterprises and clients.  </w:t>
      </w:r>
      <w:r w:rsidR="007324C9" w:rsidRPr="00D35850">
        <w:rPr>
          <w:sz w:val="26"/>
          <w:szCs w:val="26"/>
        </w:rPr>
        <w:t>Meanwhile, in the first nine months of 2023, InvestHK has completed 300 projects, an increase of 27% when compar</w:t>
      </w:r>
      <w:r w:rsidR="00312558" w:rsidRPr="00D35850">
        <w:rPr>
          <w:sz w:val="26"/>
          <w:szCs w:val="26"/>
        </w:rPr>
        <w:t>ed with the same period in 2022</w:t>
      </w:r>
      <w:r w:rsidR="007324C9" w:rsidRPr="00D35850">
        <w:rPr>
          <w:sz w:val="26"/>
          <w:szCs w:val="26"/>
        </w:rPr>
        <w:t>.</w:t>
      </w:r>
      <w:r w:rsidR="009304F1" w:rsidRPr="00D35850">
        <w:rPr>
          <w:sz w:val="26"/>
          <w:szCs w:val="26"/>
        </w:rPr>
        <w:t xml:space="preserve">  </w:t>
      </w:r>
      <w:r w:rsidR="00C23C48" w:rsidRPr="00D35850">
        <w:rPr>
          <w:sz w:val="26"/>
          <w:szCs w:val="26"/>
        </w:rPr>
        <w:t>In this regard, InvestHK has, on a pro-rata basis, well-exceeded the corresponding performance indicator set out in the 2022 Policy Address, namely to attract at least a total of 1 130 companies to set up or expand their operations in Hong Kong from 2023 to 2025, an increase of 16% over the annual average number in 2020 and 2021.</w:t>
      </w:r>
    </w:p>
    <w:p w:rsidR="007324C9" w:rsidRPr="00D35850" w:rsidRDefault="007324C9" w:rsidP="006B4AE7">
      <w:pPr>
        <w:pStyle w:val="a6"/>
        <w:tabs>
          <w:tab w:val="left" w:pos="1134"/>
          <w:tab w:val="left" w:pos="2552"/>
        </w:tabs>
        <w:overflowPunct w:val="0"/>
        <w:adjustRightInd w:val="0"/>
        <w:snapToGrid w:val="0"/>
        <w:ind w:leftChars="0" w:left="0"/>
        <w:jc w:val="both"/>
        <w:rPr>
          <w:sz w:val="26"/>
          <w:szCs w:val="26"/>
        </w:rPr>
      </w:pPr>
    </w:p>
    <w:p w:rsidR="007C70FA" w:rsidRPr="00D35850" w:rsidRDefault="007324C9" w:rsidP="006B4AE7">
      <w:pPr>
        <w:pStyle w:val="a6"/>
        <w:numPr>
          <w:ilvl w:val="0"/>
          <w:numId w:val="1"/>
        </w:numPr>
        <w:tabs>
          <w:tab w:val="left" w:pos="1134"/>
        </w:tabs>
        <w:overflowPunct w:val="0"/>
        <w:adjustRightInd w:val="0"/>
        <w:snapToGrid w:val="0"/>
        <w:ind w:leftChars="0" w:left="0" w:firstLine="0"/>
        <w:jc w:val="both"/>
        <w:rPr>
          <w:sz w:val="26"/>
          <w:szCs w:val="26"/>
        </w:rPr>
      </w:pPr>
      <w:r w:rsidRPr="00D35850">
        <w:rPr>
          <w:sz w:val="26"/>
          <w:szCs w:val="26"/>
        </w:rPr>
        <w:t xml:space="preserve">HKTDC </w:t>
      </w:r>
      <w:r w:rsidR="00236D97" w:rsidRPr="00D35850">
        <w:rPr>
          <w:sz w:val="26"/>
          <w:szCs w:val="26"/>
        </w:rPr>
        <w:t>assists in developing Hong Kong’s external trade.  With 50 offices globally, including 13 in the Mainland, it promotes, through international exhibitions, conferences and business missions, Hong Kong as a two-way global inv</w:t>
      </w:r>
      <w:r w:rsidR="00AE3646" w:rsidRPr="00D35850">
        <w:rPr>
          <w:sz w:val="26"/>
          <w:szCs w:val="26"/>
        </w:rPr>
        <w:t>estment, trade and business hub</w:t>
      </w:r>
      <w:r w:rsidR="00236D97" w:rsidRPr="00D35850">
        <w:rPr>
          <w:sz w:val="26"/>
          <w:szCs w:val="26"/>
        </w:rPr>
        <w:t xml:space="preserve">.  It also provides business support </w:t>
      </w:r>
      <w:proofErr w:type="spellStart"/>
      <w:r w:rsidR="00236D97" w:rsidRPr="00D35850">
        <w:rPr>
          <w:sz w:val="26"/>
          <w:szCs w:val="26"/>
        </w:rPr>
        <w:t>programmes</w:t>
      </w:r>
      <w:proofErr w:type="spellEnd"/>
      <w:r w:rsidR="00236D97" w:rsidRPr="00D35850">
        <w:rPr>
          <w:sz w:val="26"/>
          <w:szCs w:val="26"/>
        </w:rPr>
        <w:t xml:space="preserve">, market research and industry information via </w:t>
      </w:r>
      <w:r w:rsidR="00AE3646" w:rsidRPr="00D35850">
        <w:rPr>
          <w:sz w:val="26"/>
          <w:szCs w:val="26"/>
        </w:rPr>
        <w:t>digital and physical channels. Since the resumption of normalcy,</w:t>
      </w:r>
      <w:r w:rsidR="0090512D" w:rsidRPr="00D35850">
        <w:rPr>
          <w:sz w:val="26"/>
          <w:szCs w:val="26"/>
        </w:rPr>
        <w:t xml:space="preserve"> </w:t>
      </w:r>
      <w:r w:rsidR="00B55A63" w:rsidRPr="00D35850">
        <w:rPr>
          <w:sz w:val="26"/>
          <w:szCs w:val="26"/>
        </w:rPr>
        <w:t xml:space="preserve">HKTDC resumed its flagship </w:t>
      </w:r>
      <w:r w:rsidR="007654FB" w:rsidRPr="00D35850">
        <w:rPr>
          <w:sz w:val="26"/>
          <w:szCs w:val="26"/>
        </w:rPr>
        <w:t>“</w:t>
      </w:r>
      <w:r w:rsidR="00B55A63" w:rsidRPr="00D35850">
        <w:rPr>
          <w:sz w:val="26"/>
          <w:szCs w:val="26"/>
        </w:rPr>
        <w:t>Think Business, Think Hong Kong</w:t>
      </w:r>
      <w:r w:rsidR="007654FB" w:rsidRPr="00D35850">
        <w:rPr>
          <w:sz w:val="26"/>
          <w:szCs w:val="26"/>
        </w:rPr>
        <w:t>”</w:t>
      </w:r>
      <w:r w:rsidR="00B55A63" w:rsidRPr="00D35850">
        <w:rPr>
          <w:sz w:val="26"/>
          <w:szCs w:val="26"/>
        </w:rPr>
        <w:t xml:space="preserve"> campaign in overseas markets to promote bilateral trade and investment between Hong Kong an</w:t>
      </w:r>
      <w:r w:rsidR="00AE3646" w:rsidRPr="00D35850">
        <w:rPr>
          <w:sz w:val="26"/>
          <w:szCs w:val="26"/>
        </w:rPr>
        <w:t xml:space="preserve">d major international partners. </w:t>
      </w:r>
      <w:r w:rsidR="007654FB" w:rsidRPr="00D35850">
        <w:rPr>
          <w:sz w:val="26"/>
          <w:szCs w:val="26"/>
        </w:rPr>
        <w:t xml:space="preserve"> </w:t>
      </w:r>
      <w:r w:rsidR="00AE3646" w:rsidRPr="00D35850">
        <w:rPr>
          <w:sz w:val="26"/>
          <w:szCs w:val="26"/>
        </w:rPr>
        <w:t>Moreover, the HKSARG and HKTDC jointly organised the eighth edition of the annual Belt and Road Summit in September</w:t>
      </w:r>
      <w:r w:rsidR="007654FB" w:rsidRPr="00D35850">
        <w:rPr>
          <w:sz w:val="26"/>
          <w:szCs w:val="26"/>
        </w:rPr>
        <w:t xml:space="preserve"> 2023</w:t>
      </w:r>
      <w:r w:rsidR="00AE3646" w:rsidRPr="00D35850">
        <w:rPr>
          <w:sz w:val="26"/>
          <w:szCs w:val="26"/>
        </w:rPr>
        <w:t xml:space="preserve"> to actively promote Hong Kong as a functional platform and a key link for the BRI, attracting some 6 000 participants</w:t>
      </w:r>
      <w:r w:rsidR="00C23C48" w:rsidRPr="00D35850">
        <w:rPr>
          <w:sz w:val="26"/>
          <w:szCs w:val="26"/>
        </w:rPr>
        <w:t>, among them some 90 government and business leaders from more than 70</w:t>
      </w:r>
      <w:r w:rsidR="009304F1" w:rsidRPr="00D35850">
        <w:rPr>
          <w:sz w:val="26"/>
          <w:szCs w:val="26"/>
        </w:rPr>
        <w:t xml:space="preserve"> countries</w:t>
      </w:r>
      <w:r w:rsidR="00C23C48" w:rsidRPr="00D35850">
        <w:rPr>
          <w:sz w:val="26"/>
          <w:szCs w:val="26"/>
        </w:rPr>
        <w:t>,</w:t>
      </w:r>
      <w:r w:rsidR="009304F1" w:rsidRPr="00D35850">
        <w:rPr>
          <w:sz w:val="26"/>
          <w:szCs w:val="26"/>
        </w:rPr>
        <w:t xml:space="preserve"> </w:t>
      </w:r>
      <w:r w:rsidR="00AE3646" w:rsidRPr="00D35850">
        <w:rPr>
          <w:sz w:val="26"/>
          <w:szCs w:val="26"/>
        </w:rPr>
        <w:t>and resulted in the signature of 21 memoranda of understanding.</w:t>
      </w:r>
    </w:p>
    <w:p w:rsidR="00750F86" w:rsidRPr="00D35850" w:rsidRDefault="00750F86" w:rsidP="006B4AE7">
      <w:pPr>
        <w:pStyle w:val="a6"/>
        <w:ind w:left="560"/>
        <w:rPr>
          <w:sz w:val="26"/>
          <w:szCs w:val="26"/>
        </w:rPr>
      </w:pPr>
    </w:p>
    <w:p w:rsidR="00750F86" w:rsidRPr="00D35850" w:rsidRDefault="00750F86" w:rsidP="006B4AE7">
      <w:pPr>
        <w:tabs>
          <w:tab w:val="left" w:pos="1134"/>
        </w:tabs>
        <w:overflowPunct w:val="0"/>
        <w:adjustRightInd w:val="0"/>
        <w:snapToGrid w:val="0"/>
        <w:jc w:val="both"/>
        <w:rPr>
          <w:sz w:val="26"/>
          <w:szCs w:val="26"/>
        </w:rPr>
      </w:pPr>
    </w:p>
    <w:p w:rsidR="007C70FA" w:rsidRPr="00D35850" w:rsidRDefault="007C70FA" w:rsidP="006B4AE7">
      <w:pPr>
        <w:jc w:val="both"/>
        <w:rPr>
          <w:rFonts w:eastAsia="新細明體"/>
          <w:b/>
          <w:sz w:val="26"/>
          <w:szCs w:val="26"/>
        </w:rPr>
      </w:pPr>
      <w:r w:rsidRPr="00D35850">
        <w:rPr>
          <w:rFonts w:eastAsia="新細明體"/>
          <w:b/>
          <w:sz w:val="26"/>
          <w:szCs w:val="26"/>
        </w:rPr>
        <w:t>Commerce and Economic Development Bureau</w:t>
      </w:r>
    </w:p>
    <w:p w:rsidR="007C70FA" w:rsidRPr="00D35850" w:rsidRDefault="006B4AE7" w:rsidP="006B4AE7">
      <w:pPr>
        <w:jc w:val="both"/>
        <w:rPr>
          <w:rFonts w:eastAsia="新細明體"/>
          <w:b/>
          <w:sz w:val="26"/>
          <w:szCs w:val="26"/>
        </w:rPr>
      </w:pPr>
      <w:r w:rsidRPr="00D35850">
        <w:rPr>
          <w:rFonts w:eastAsia="新細明體"/>
          <w:b/>
          <w:sz w:val="26"/>
          <w:szCs w:val="26"/>
        </w:rPr>
        <w:t xml:space="preserve">November </w:t>
      </w:r>
      <w:r w:rsidR="007C70FA" w:rsidRPr="00D35850">
        <w:rPr>
          <w:rFonts w:eastAsia="新細明體"/>
          <w:b/>
          <w:sz w:val="26"/>
          <w:szCs w:val="26"/>
        </w:rPr>
        <w:t>2023</w:t>
      </w:r>
    </w:p>
    <w:p w:rsidR="00750F86" w:rsidRPr="00D35850" w:rsidRDefault="00750F86">
      <w:pPr>
        <w:jc w:val="both"/>
        <w:rPr>
          <w:rFonts w:eastAsia="新細明體"/>
          <w:b/>
          <w:sz w:val="26"/>
          <w:szCs w:val="26"/>
        </w:rPr>
      </w:pPr>
    </w:p>
    <w:sectPr w:rsidR="00750F86" w:rsidRPr="00D35850" w:rsidSect="00445A49">
      <w:footerReference w:type="default" r:id="rId8"/>
      <w:pgSz w:w="11906" w:h="16838"/>
      <w:pgMar w:top="1276" w:right="1800" w:bottom="1440" w:left="1800" w:header="851" w:footer="6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D9" w:rsidRDefault="00A902D9" w:rsidP="00042ABF">
      <w:r>
        <w:separator/>
      </w:r>
    </w:p>
  </w:endnote>
  <w:endnote w:type="continuationSeparator" w:id="0">
    <w:p w:rsidR="00A902D9" w:rsidRDefault="00A902D9" w:rsidP="0004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明體">
    <w:altName w:val="Malgun Gothic Semilight"/>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080324"/>
      <w:docPartObj>
        <w:docPartGallery w:val="Page Numbers (Bottom of Page)"/>
        <w:docPartUnique/>
      </w:docPartObj>
    </w:sdtPr>
    <w:sdtEndPr/>
    <w:sdtContent>
      <w:p w:rsidR="006B4AE7" w:rsidRDefault="006B4AE7">
        <w:pPr>
          <w:pStyle w:val="aa"/>
          <w:jc w:val="center"/>
        </w:pPr>
        <w:r>
          <w:fldChar w:fldCharType="begin"/>
        </w:r>
        <w:r>
          <w:instrText>PAGE   \* MERGEFORMAT</w:instrText>
        </w:r>
        <w:r>
          <w:fldChar w:fldCharType="separate"/>
        </w:r>
        <w:r w:rsidR="004D544D" w:rsidRPr="004D544D">
          <w:rPr>
            <w:noProof/>
            <w:lang w:val="zh-TW"/>
          </w:rPr>
          <w:t>2</w:t>
        </w:r>
        <w:r>
          <w:fldChar w:fldCharType="end"/>
        </w:r>
      </w:p>
    </w:sdtContent>
  </w:sdt>
  <w:p w:rsidR="006B4AE7" w:rsidRDefault="006B4AE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D9" w:rsidRDefault="00A902D9" w:rsidP="00042ABF">
      <w:r>
        <w:separator/>
      </w:r>
    </w:p>
  </w:footnote>
  <w:footnote w:type="continuationSeparator" w:id="0">
    <w:p w:rsidR="00A902D9" w:rsidRDefault="00A902D9" w:rsidP="00042ABF">
      <w:r>
        <w:continuationSeparator/>
      </w:r>
    </w:p>
  </w:footnote>
  <w:footnote w:id="1">
    <w:p w:rsidR="008475E0" w:rsidRDefault="008475E0" w:rsidP="008475E0">
      <w:pPr>
        <w:pStyle w:val="a3"/>
        <w:ind w:left="420" w:hanging="420"/>
      </w:pPr>
      <w:r>
        <w:rPr>
          <w:rStyle w:val="a5"/>
        </w:rPr>
        <w:footnoteRef/>
      </w:r>
      <w:r>
        <w:t xml:space="preserve">  </w:t>
      </w:r>
      <w:r w:rsidRPr="0077343D">
        <w:rPr>
          <w:spacing w:val="0"/>
        </w:rPr>
        <w:t>The 14 ETOs are located in Berlin, Brussels, Dubai, Geneva, Jakarta, London, New York, San Francisco, Singapore, Bangkok, Sydney, Tokyo, Toronto and Washington DC respectively.</w:t>
      </w:r>
    </w:p>
  </w:footnote>
  <w:footnote w:id="2">
    <w:p w:rsidR="007324C9" w:rsidRPr="002873D8" w:rsidRDefault="007324C9" w:rsidP="007324C9">
      <w:pPr>
        <w:pStyle w:val="a3"/>
        <w:ind w:left="420" w:hanging="420"/>
        <w:rPr>
          <w:lang w:eastAsia="zh-CN"/>
        </w:rPr>
      </w:pPr>
      <w:r w:rsidRPr="007C79D0">
        <w:rPr>
          <w:rStyle w:val="a5"/>
        </w:rPr>
        <w:footnoteRef/>
      </w:r>
      <w:r w:rsidRPr="007C79D0">
        <w:t xml:space="preserve">  </w:t>
      </w:r>
      <w:r w:rsidRPr="007C79D0">
        <w:rPr>
          <w:spacing w:val="0"/>
        </w:rPr>
        <w:t xml:space="preserve">Dedicated Teams were not set up in the Geneva </w:t>
      </w:r>
      <w:r w:rsidRPr="007C79D0">
        <w:rPr>
          <w:rFonts w:hint="eastAsia"/>
          <w:spacing w:val="0"/>
        </w:rPr>
        <w:t>and</w:t>
      </w:r>
      <w:r w:rsidRPr="007C79D0">
        <w:rPr>
          <w:spacing w:val="0"/>
        </w:rPr>
        <w:t xml:space="preserve"> Washington ETOs.  The Geneva ETO is the representative of Hong Kong, China in the World Trade Organization and the Trade Committee of the </w:t>
      </w:r>
      <w:proofErr w:type="spellStart"/>
      <w:r w:rsidRPr="007C79D0">
        <w:rPr>
          <w:spacing w:val="0"/>
        </w:rPr>
        <w:t>Organisation</w:t>
      </w:r>
      <w:proofErr w:type="spellEnd"/>
      <w:r w:rsidRPr="007C79D0">
        <w:rPr>
          <w:spacing w:val="0"/>
        </w:rPr>
        <w:t xml:space="preserve"> for Economic Co-operation and Development, and is mainly responsible for handling issues relating to these organisations. </w:t>
      </w:r>
      <w:r>
        <w:rPr>
          <w:spacing w:val="0"/>
        </w:rPr>
        <w:t xml:space="preserve"> </w:t>
      </w:r>
      <w:r w:rsidRPr="007C79D0">
        <w:rPr>
          <w:spacing w:val="0"/>
        </w:rPr>
        <w:t>The work on bilateral economic and trade relations with Switzerland is handled by the Berlin ETO.</w:t>
      </w:r>
      <w:r>
        <w:rPr>
          <w:spacing w:val="0"/>
        </w:rPr>
        <w:t xml:space="preserve"> </w:t>
      </w:r>
      <w:r w:rsidRPr="007C79D0">
        <w:rPr>
          <w:spacing w:val="0"/>
        </w:rPr>
        <w:t xml:space="preserve"> The Washington ETO is mainly responsible for liaising with the political circle in the United States, and the New York ETO is responsible for attracting businesses and talents in the eastern states of the United States.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A6853"/>
    <w:multiLevelType w:val="hybridMultilevel"/>
    <w:tmpl w:val="87D8F4E6"/>
    <w:lvl w:ilvl="0" w:tplc="00A4FF16">
      <w:start w:val="2"/>
      <w:numFmt w:val="decimal"/>
      <w:lvlText w:val="%1."/>
      <w:lvlJc w:val="left"/>
      <w:pPr>
        <w:ind w:left="1859" w:hanging="360"/>
      </w:pPr>
      <w:rPr>
        <w:rFonts w:hint="eastAsia"/>
      </w:r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BF"/>
    <w:rsid w:val="00005527"/>
    <w:rsid w:val="00006ADA"/>
    <w:rsid w:val="00042ABF"/>
    <w:rsid w:val="00054D20"/>
    <w:rsid w:val="00074B84"/>
    <w:rsid w:val="000E3114"/>
    <w:rsid w:val="000E7C4A"/>
    <w:rsid w:val="000F19A5"/>
    <w:rsid w:val="00106129"/>
    <w:rsid w:val="00114314"/>
    <w:rsid w:val="00117FC4"/>
    <w:rsid w:val="001230B7"/>
    <w:rsid w:val="0020202D"/>
    <w:rsid w:val="00211BC7"/>
    <w:rsid w:val="002234BF"/>
    <w:rsid w:val="00236D97"/>
    <w:rsid w:val="00276E1B"/>
    <w:rsid w:val="002D3E44"/>
    <w:rsid w:val="002F6F26"/>
    <w:rsid w:val="00312558"/>
    <w:rsid w:val="00325E31"/>
    <w:rsid w:val="00337800"/>
    <w:rsid w:val="003A467A"/>
    <w:rsid w:val="00445A49"/>
    <w:rsid w:val="004D544D"/>
    <w:rsid w:val="00527704"/>
    <w:rsid w:val="005423E9"/>
    <w:rsid w:val="005428FE"/>
    <w:rsid w:val="00543D47"/>
    <w:rsid w:val="00594171"/>
    <w:rsid w:val="00594238"/>
    <w:rsid w:val="005F1BEF"/>
    <w:rsid w:val="006B4AE7"/>
    <w:rsid w:val="006F6129"/>
    <w:rsid w:val="00710507"/>
    <w:rsid w:val="007324C9"/>
    <w:rsid w:val="00732958"/>
    <w:rsid w:val="00750F86"/>
    <w:rsid w:val="007654FB"/>
    <w:rsid w:val="0077343D"/>
    <w:rsid w:val="007B7817"/>
    <w:rsid w:val="007C70FA"/>
    <w:rsid w:val="00822926"/>
    <w:rsid w:val="008475E0"/>
    <w:rsid w:val="008743FF"/>
    <w:rsid w:val="008B5422"/>
    <w:rsid w:val="008F7399"/>
    <w:rsid w:val="0090512D"/>
    <w:rsid w:val="009304F1"/>
    <w:rsid w:val="009C1828"/>
    <w:rsid w:val="009D5A7E"/>
    <w:rsid w:val="00A2556B"/>
    <w:rsid w:val="00A77D51"/>
    <w:rsid w:val="00A902D9"/>
    <w:rsid w:val="00AB23E1"/>
    <w:rsid w:val="00AB4B9F"/>
    <w:rsid w:val="00AC2BA4"/>
    <w:rsid w:val="00AE3646"/>
    <w:rsid w:val="00B1719E"/>
    <w:rsid w:val="00B27548"/>
    <w:rsid w:val="00B55A63"/>
    <w:rsid w:val="00B639BE"/>
    <w:rsid w:val="00BC6E2C"/>
    <w:rsid w:val="00BE5A70"/>
    <w:rsid w:val="00C23C48"/>
    <w:rsid w:val="00CB4278"/>
    <w:rsid w:val="00CE6479"/>
    <w:rsid w:val="00D35850"/>
    <w:rsid w:val="00DA4234"/>
    <w:rsid w:val="00E050E4"/>
    <w:rsid w:val="00EB5505"/>
    <w:rsid w:val="00F15A65"/>
    <w:rsid w:val="00F4633F"/>
    <w:rsid w:val="00F93DF8"/>
    <w:rsid w:val="00FF50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6249226-D1B2-4C51-B474-ECB68AB7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kern w:val="2"/>
        <w:sz w:val="28"/>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8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ft,Footnotes,Footnote ak,註腳參照1,FOOTNOTES,single space,fn cafc,Footnote Text Char1,fn Char Char,footnote text Char Char,Footnotes Char Char,Footnote ak Char Char,Footnote Text 2,footnote citation,Footnote Text Char Char,Car,字元,Char"/>
    <w:basedOn w:val="a"/>
    <w:link w:val="a4"/>
    <w:uiPriority w:val="99"/>
    <w:qFormat/>
    <w:rsid w:val="00042ABF"/>
    <w:pPr>
      <w:keepLines/>
      <w:widowControl/>
      <w:tabs>
        <w:tab w:val="left" w:pos="624"/>
        <w:tab w:val="left" w:pos="1247"/>
        <w:tab w:val="left" w:pos="1871"/>
        <w:tab w:val="left" w:pos="2495"/>
      </w:tabs>
      <w:adjustRightInd w:val="0"/>
      <w:snapToGrid w:val="0"/>
      <w:spacing w:after="120" w:line="240" w:lineRule="atLeast"/>
      <w:ind w:left="200" w:hangingChars="200" w:hanging="200"/>
      <w:jc w:val="both"/>
      <w:textAlignment w:val="baseline"/>
    </w:pPr>
    <w:rPr>
      <w:rFonts w:eastAsia="華康細明體"/>
      <w:spacing w:val="30"/>
      <w:kern w:val="0"/>
      <w:sz w:val="20"/>
      <w:szCs w:val="20"/>
    </w:rPr>
  </w:style>
  <w:style w:type="character" w:customStyle="1" w:styleId="a4">
    <w:name w:val="註腳文字 字元"/>
    <w:aliases w:val="fn 字元,footnote text 字元,ft 字元,Footnotes 字元,Footnote ak 字元,註腳參照1 字元,FOOTNOTES 字元,single space 字元,fn cafc 字元,Footnote Text Char1 字元,fn Char Char 字元,footnote text Char Char 字元,Footnotes Char Char 字元,Footnote ak Char Char 字元,Footnote Text 2 字元,Car 字元"/>
    <w:basedOn w:val="a0"/>
    <w:link w:val="a3"/>
    <w:uiPriority w:val="99"/>
    <w:rsid w:val="00042ABF"/>
    <w:rPr>
      <w:rFonts w:eastAsia="華康細明體"/>
      <w:spacing w:val="30"/>
      <w:kern w:val="0"/>
      <w:sz w:val="20"/>
      <w:szCs w:val="20"/>
    </w:rPr>
  </w:style>
  <w:style w:type="character" w:styleId="a5">
    <w:name w:val="footnote reference"/>
    <w:aliases w:val="Ref,de nota al pie,Appel note de bas de p,Footnote"/>
    <w:uiPriority w:val="99"/>
    <w:rsid w:val="00042ABF"/>
    <w:rPr>
      <w:spacing w:val="0"/>
      <w:vertAlign w:val="superscript"/>
    </w:rPr>
  </w:style>
  <w:style w:type="paragraph" w:styleId="a6">
    <w:name w:val="List Paragraph"/>
    <w:aliases w:val="Issue Action POC,3,POCG Table Text,Dot pt,F5 List Paragraph,List Paragraph Char Char Char,Indicator Text,Colorful List - Accent 11,Numbered Para 1,Bullet 1,Bullet Points,List Paragraph2,MAIN CONTENT,Normal numbered,List Paragraph1,Bullets,EC,Ha"/>
    <w:basedOn w:val="a"/>
    <w:link w:val="a7"/>
    <w:uiPriority w:val="34"/>
    <w:qFormat/>
    <w:rsid w:val="00042ABF"/>
    <w:pPr>
      <w:ind w:leftChars="200" w:left="480"/>
    </w:pPr>
    <w:rPr>
      <w:rFonts w:eastAsia="新細明體"/>
      <w:sz w:val="24"/>
      <w:szCs w:val="24"/>
    </w:rPr>
  </w:style>
  <w:style w:type="character" w:customStyle="1" w:styleId="a7">
    <w:name w:val="清單段落 字元"/>
    <w:aliases w:val="Issue Action POC 字元,3 字元,POCG Table Text 字元,Dot pt 字元,F5 List Paragraph 字元,List Paragraph Char Char Char 字元,Indicator Text 字元,Colorful List - Accent 11 字元,Numbered Para 1 字元,Bullet 1 字元,Bullet Points 字元,List Paragraph2 字元,MAIN CONTENT 字元,EC 字元"/>
    <w:link w:val="a6"/>
    <w:uiPriority w:val="34"/>
    <w:qFormat/>
    <w:rsid w:val="00042ABF"/>
    <w:rPr>
      <w:rFonts w:eastAsia="新細明體"/>
      <w:sz w:val="24"/>
      <w:szCs w:val="24"/>
    </w:rPr>
  </w:style>
  <w:style w:type="paragraph" w:styleId="a8">
    <w:name w:val="header"/>
    <w:basedOn w:val="a"/>
    <w:link w:val="a9"/>
    <w:uiPriority w:val="99"/>
    <w:unhideWhenUsed/>
    <w:rsid w:val="00211BC7"/>
    <w:pPr>
      <w:tabs>
        <w:tab w:val="center" w:pos="4153"/>
        <w:tab w:val="right" w:pos="8306"/>
      </w:tabs>
      <w:snapToGrid w:val="0"/>
    </w:pPr>
    <w:rPr>
      <w:sz w:val="20"/>
      <w:szCs w:val="20"/>
    </w:rPr>
  </w:style>
  <w:style w:type="character" w:customStyle="1" w:styleId="a9">
    <w:name w:val="頁首 字元"/>
    <w:basedOn w:val="a0"/>
    <w:link w:val="a8"/>
    <w:uiPriority w:val="99"/>
    <w:rsid w:val="00211BC7"/>
    <w:rPr>
      <w:sz w:val="20"/>
      <w:szCs w:val="20"/>
    </w:rPr>
  </w:style>
  <w:style w:type="paragraph" w:styleId="aa">
    <w:name w:val="footer"/>
    <w:basedOn w:val="a"/>
    <w:link w:val="ab"/>
    <w:uiPriority w:val="99"/>
    <w:unhideWhenUsed/>
    <w:rsid w:val="00211BC7"/>
    <w:pPr>
      <w:tabs>
        <w:tab w:val="center" w:pos="4153"/>
        <w:tab w:val="right" w:pos="8306"/>
      </w:tabs>
      <w:snapToGrid w:val="0"/>
    </w:pPr>
    <w:rPr>
      <w:sz w:val="20"/>
      <w:szCs w:val="20"/>
    </w:rPr>
  </w:style>
  <w:style w:type="character" w:customStyle="1" w:styleId="ab">
    <w:name w:val="頁尾 字元"/>
    <w:basedOn w:val="a0"/>
    <w:link w:val="aa"/>
    <w:uiPriority w:val="99"/>
    <w:rsid w:val="00211BC7"/>
    <w:rPr>
      <w:sz w:val="20"/>
      <w:szCs w:val="20"/>
    </w:rPr>
  </w:style>
  <w:style w:type="paragraph" w:styleId="ac">
    <w:name w:val="Balloon Text"/>
    <w:basedOn w:val="a"/>
    <w:link w:val="ad"/>
    <w:uiPriority w:val="99"/>
    <w:semiHidden/>
    <w:unhideWhenUsed/>
    <w:rsid w:val="004D544D"/>
    <w:rPr>
      <w:rFonts w:ascii="Microsoft JhengHei UI" w:eastAsia="Microsoft JhengHei UI"/>
      <w:sz w:val="18"/>
      <w:szCs w:val="18"/>
    </w:rPr>
  </w:style>
  <w:style w:type="character" w:customStyle="1" w:styleId="ad">
    <w:name w:val="註解方塊文字 字元"/>
    <w:basedOn w:val="a0"/>
    <w:link w:val="ac"/>
    <w:uiPriority w:val="99"/>
    <w:semiHidden/>
    <w:rsid w:val="004D544D"/>
    <w:rPr>
      <w:rFonts w:ascii="Microsoft JhengHei UI" w:eastAsia="Microsoft Jheng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521F-8BE3-45CD-885B-08439442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WOO</dc:creator>
  <cp:keywords/>
  <dc:description/>
  <cp:lastModifiedBy>user</cp:lastModifiedBy>
  <cp:revision>9</cp:revision>
  <cp:lastPrinted>2023-11-20T05:54:00Z</cp:lastPrinted>
  <dcterms:created xsi:type="dcterms:W3CDTF">2023-11-09T10:00:00Z</dcterms:created>
  <dcterms:modified xsi:type="dcterms:W3CDTF">2023-11-20T05:56:00Z</dcterms:modified>
</cp:coreProperties>
</file>